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FE96" w14:textId="77777777" w:rsidR="00496950" w:rsidRDefault="00496950" w:rsidP="00496950">
      <w:pPr>
        <w:pStyle w:val="Title"/>
        <w:jc w:val="center"/>
      </w:pPr>
      <w:r>
        <w:fldChar w:fldCharType="begin"/>
      </w:r>
      <w:r>
        <w:instrText xml:space="preserve"> INCLUDEPICTURE "https://computing.nova.edu/images/ncae-nsa-seals-horizontal.png" \* MERGEFORMATINET </w:instrText>
      </w:r>
      <w:r>
        <w:fldChar w:fldCharType="separate"/>
      </w:r>
      <w:r>
        <w:rPr>
          <w:noProof/>
        </w:rPr>
        <w:drawing>
          <wp:inline distT="0" distB="0" distL="0" distR="0" wp14:anchorId="0296879A" wp14:editId="63DCE0E1">
            <wp:extent cx="2399572" cy="1166202"/>
            <wp:effectExtent l="0" t="0" r="0" b="2540"/>
            <wp:docPr id="20894484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48400"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1659" cy="1181797"/>
                    </a:xfrm>
                    <a:prstGeom prst="rect">
                      <a:avLst/>
                    </a:prstGeom>
                    <a:noFill/>
                    <a:ln>
                      <a:noFill/>
                    </a:ln>
                  </pic:spPr>
                </pic:pic>
              </a:graphicData>
            </a:graphic>
          </wp:inline>
        </w:drawing>
      </w:r>
      <w:r>
        <w:fldChar w:fldCharType="end"/>
      </w:r>
    </w:p>
    <w:p w14:paraId="731C9291" w14:textId="281F71E5" w:rsidR="00857A2F" w:rsidRDefault="00570CD0">
      <w:pPr>
        <w:pStyle w:val="Title"/>
        <w:jc w:val="center"/>
        <w:rPr>
          <w:sz w:val="36"/>
          <w:szCs w:val="36"/>
        </w:rPr>
      </w:pPr>
      <w:r>
        <w:rPr>
          <w:sz w:val="36"/>
          <w:szCs w:val="36"/>
        </w:rPr>
        <w:t>CAE Community of Practice</w:t>
      </w:r>
      <w:r w:rsidR="00496950">
        <w:rPr>
          <w:sz w:val="36"/>
          <w:szCs w:val="36"/>
        </w:rPr>
        <w:t xml:space="preserve"> in Cyber Defense</w:t>
      </w:r>
      <w:r>
        <w:rPr>
          <w:sz w:val="36"/>
          <w:szCs w:val="36"/>
        </w:rPr>
        <w:t xml:space="preserve"> (CoP-CD</w:t>
      </w:r>
      <w:r w:rsidR="00496950">
        <w:rPr>
          <w:sz w:val="36"/>
          <w:szCs w:val="36"/>
        </w:rPr>
        <w:t>)</w:t>
      </w:r>
      <w:r>
        <w:rPr>
          <w:sz w:val="36"/>
          <w:szCs w:val="36"/>
        </w:rPr>
        <w:br/>
      </w:r>
      <w:hyperlink r:id="rId7">
        <w:r>
          <w:rPr>
            <w:color w:val="0563C1"/>
            <w:sz w:val="32"/>
            <w:szCs w:val="32"/>
            <w:u w:val="single"/>
          </w:rPr>
          <w:t>https://www.caecommunity.org/community-of-practice/cyber-defense</w:t>
        </w:r>
      </w:hyperlink>
    </w:p>
    <w:p w14:paraId="7E81E12C" w14:textId="77777777" w:rsidR="00496950" w:rsidRDefault="00496950">
      <w:pPr>
        <w:pStyle w:val="Title"/>
        <w:jc w:val="center"/>
        <w:rPr>
          <w:b/>
          <w:sz w:val="36"/>
          <w:szCs w:val="36"/>
        </w:rPr>
      </w:pPr>
    </w:p>
    <w:p w14:paraId="2A2FA7A8" w14:textId="596122D3" w:rsidR="00857A2F" w:rsidRDefault="00570CD0">
      <w:pPr>
        <w:pStyle w:val="Title"/>
        <w:jc w:val="center"/>
        <w:rPr>
          <w:b/>
          <w:sz w:val="36"/>
          <w:szCs w:val="36"/>
        </w:rPr>
      </w:pPr>
      <w:r>
        <w:rPr>
          <w:b/>
          <w:sz w:val="36"/>
          <w:szCs w:val="36"/>
        </w:rPr>
        <w:t>NCAE-C Student Code of Ethics and Professional Conduct Committee</w:t>
      </w:r>
    </w:p>
    <w:p w14:paraId="013FAFED" w14:textId="77777777" w:rsidR="00857A2F" w:rsidRDefault="00570CD0">
      <w:pPr>
        <w:pStyle w:val="Title"/>
        <w:jc w:val="center"/>
        <w:rPr>
          <w:sz w:val="32"/>
          <w:szCs w:val="32"/>
        </w:rPr>
      </w:pPr>
      <w:r>
        <w:rPr>
          <w:sz w:val="24"/>
          <w:szCs w:val="24"/>
        </w:rPr>
        <w:t>Kelli Burgin</w:t>
      </w:r>
      <w:r>
        <w:rPr>
          <w:sz w:val="24"/>
          <w:szCs w:val="24"/>
        </w:rPr>
        <w:br/>
        <w:t>Montreat College</w:t>
      </w:r>
      <w:r>
        <w:rPr>
          <w:sz w:val="24"/>
          <w:szCs w:val="24"/>
        </w:rPr>
        <w:br/>
        <w:t>Anna Carlin</w:t>
      </w:r>
      <w:r>
        <w:rPr>
          <w:sz w:val="24"/>
          <w:szCs w:val="24"/>
        </w:rPr>
        <w:br/>
        <w:t>Fullerton College</w:t>
      </w:r>
    </w:p>
    <w:p w14:paraId="034CCD0D" w14:textId="77777777" w:rsidR="00857A2F" w:rsidRDefault="00570CD0">
      <w:r>
        <w:t>Committee Members</w:t>
      </w:r>
    </w:p>
    <w:tbl>
      <w:tblPr>
        <w:tblStyle w:val="a"/>
        <w:tblW w:w="7054" w:type="dxa"/>
        <w:tblLayout w:type="fixed"/>
        <w:tblLook w:val="0400" w:firstRow="0" w:lastRow="0" w:firstColumn="0" w:lastColumn="0" w:noHBand="0" w:noVBand="1"/>
      </w:tblPr>
      <w:tblGrid>
        <w:gridCol w:w="1620"/>
        <w:gridCol w:w="1170"/>
        <w:gridCol w:w="4264"/>
      </w:tblGrid>
      <w:tr w:rsidR="00857A2F" w14:paraId="11E89EC6" w14:textId="77777777" w:rsidTr="00832F65">
        <w:trPr>
          <w:trHeight w:val="290"/>
        </w:trPr>
        <w:tc>
          <w:tcPr>
            <w:tcW w:w="1620" w:type="dxa"/>
            <w:tcBorders>
              <w:top w:val="nil"/>
              <w:left w:val="nil"/>
              <w:bottom w:val="nil"/>
              <w:right w:val="nil"/>
            </w:tcBorders>
            <w:shd w:val="clear" w:color="auto" w:fill="auto"/>
            <w:vAlign w:val="bottom"/>
          </w:tcPr>
          <w:p w14:paraId="346316CF" w14:textId="77777777" w:rsidR="00857A2F" w:rsidRDefault="00570CD0">
            <w:pPr>
              <w:spacing w:after="0" w:line="240" w:lineRule="auto"/>
              <w:rPr>
                <w:color w:val="000000"/>
              </w:rPr>
            </w:pPr>
            <w:r>
              <w:rPr>
                <w:color w:val="000000"/>
              </w:rPr>
              <w:t>Crystal</w:t>
            </w:r>
          </w:p>
        </w:tc>
        <w:tc>
          <w:tcPr>
            <w:tcW w:w="1170" w:type="dxa"/>
            <w:tcBorders>
              <w:top w:val="nil"/>
              <w:left w:val="nil"/>
              <w:bottom w:val="nil"/>
              <w:right w:val="nil"/>
            </w:tcBorders>
            <w:shd w:val="clear" w:color="auto" w:fill="auto"/>
            <w:vAlign w:val="bottom"/>
          </w:tcPr>
          <w:p w14:paraId="586ED32F" w14:textId="77777777" w:rsidR="00857A2F" w:rsidRDefault="00570CD0">
            <w:pPr>
              <w:spacing w:after="0" w:line="240" w:lineRule="auto"/>
              <w:rPr>
                <w:color w:val="000000"/>
              </w:rPr>
            </w:pPr>
            <w:r>
              <w:rPr>
                <w:color w:val="000000"/>
              </w:rPr>
              <w:t>Dye</w:t>
            </w:r>
          </w:p>
        </w:tc>
        <w:tc>
          <w:tcPr>
            <w:tcW w:w="4264" w:type="dxa"/>
            <w:tcBorders>
              <w:top w:val="nil"/>
              <w:left w:val="nil"/>
              <w:bottom w:val="nil"/>
              <w:right w:val="nil"/>
            </w:tcBorders>
            <w:shd w:val="clear" w:color="auto" w:fill="auto"/>
            <w:vAlign w:val="bottom"/>
          </w:tcPr>
          <w:p w14:paraId="2EA8844F" w14:textId="77777777" w:rsidR="00857A2F" w:rsidRDefault="00570CD0">
            <w:pPr>
              <w:spacing w:after="0" w:line="240" w:lineRule="auto"/>
              <w:rPr>
                <w:color w:val="000000"/>
              </w:rPr>
            </w:pPr>
            <w:r>
              <w:rPr>
                <w:color w:val="000000"/>
              </w:rPr>
              <w:t>Southwest Virginia Community College</w:t>
            </w:r>
          </w:p>
        </w:tc>
      </w:tr>
      <w:tr w:rsidR="00857A2F" w14:paraId="21556207" w14:textId="77777777" w:rsidTr="005233C6">
        <w:trPr>
          <w:trHeight w:val="290"/>
        </w:trPr>
        <w:tc>
          <w:tcPr>
            <w:tcW w:w="1620" w:type="dxa"/>
            <w:tcBorders>
              <w:top w:val="nil"/>
              <w:left w:val="nil"/>
              <w:bottom w:val="nil"/>
              <w:right w:val="nil"/>
            </w:tcBorders>
            <w:shd w:val="clear" w:color="auto" w:fill="auto"/>
            <w:vAlign w:val="bottom"/>
          </w:tcPr>
          <w:p w14:paraId="241FBDC4" w14:textId="77777777" w:rsidR="00857A2F" w:rsidRDefault="00570CD0">
            <w:pPr>
              <w:spacing w:after="0" w:line="240" w:lineRule="auto"/>
              <w:rPr>
                <w:color w:val="000000"/>
              </w:rPr>
            </w:pPr>
            <w:r>
              <w:rPr>
                <w:color w:val="000000"/>
              </w:rPr>
              <w:t xml:space="preserve">Doug </w:t>
            </w:r>
          </w:p>
        </w:tc>
        <w:tc>
          <w:tcPr>
            <w:tcW w:w="1170" w:type="dxa"/>
            <w:tcBorders>
              <w:top w:val="nil"/>
              <w:left w:val="nil"/>
              <w:bottom w:val="nil"/>
              <w:right w:val="nil"/>
            </w:tcBorders>
            <w:shd w:val="clear" w:color="auto" w:fill="auto"/>
            <w:vAlign w:val="bottom"/>
          </w:tcPr>
          <w:p w14:paraId="70BFC5A4" w14:textId="77777777" w:rsidR="00857A2F" w:rsidRDefault="00570CD0">
            <w:pPr>
              <w:spacing w:after="0" w:line="240" w:lineRule="auto"/>
              <w:rPr>
                <w:color w:val="000000"/>
              </w:rPr>
            </w:pPr>
            <w:r>
              <w:rPr>
                <w:color w:val="000000"/>
              </w:rPr>
              <w:t>Jacobson</w:t>
            </w:r>
          </w:p>
        </w:tc>
        <w:tc>
          <w:tcPr>
            <w:tcW w:w="4264" w:type="dxa"/>
            <w:tcBorders>
              <w:top w:val="nil"/>
              <w:left w:val="nil"/>
              <w:bottom w:val="nil"/>
              <w:right w:val="nil"/>
            </w:tcBorders>
            <w:shd w:val="clear" w:color="auto" w:fill="auto"/>
            <w:vAlign w:val="bottom"/>
          </w:tcPr>
          <w:p w14:paraId="080E22B0" w14:textId="77777777" w:rsidR="00857A2F" w:rsidRDefault="00570CD0">
            <w:pPr>
              <w:spacing w:after="0" w:line="240" w:lineRule="auto"/>
              <w:rPr>
                <w:color w:val="000000"/>
              </w:rPr>
            </w:pPr>
            <w:r>
              <w:rPr>
                <w:color w:val="000000"/>
              </w:rPr>
              <w:t>Iowa State University</w:t>
            </w:r>
          </w:p>
        </w:tc>
      </w:tr>
      <w:tr w:rsidR="00857A2F" w14:paraId="18D86827" w14:textId="77777777" w:rsidTr="005233C6">
        <w:trPr>
          <w:trHeight w:val="290"/>
        </w:trPr>
        <w:tc>
          <w:tcPr>
            <w:tcW w:w="1620" w:type="dxa"/>
            <w:tcBorders>
              <w:top w:val="nil"/>
              <w:left w:val="nil"/>
              <w:bottom w:val="nil"/>
              <w:right w:val="nil"/>
            </w:tcBorders>
            <w:shd w:val="clear" w:color="auto" w:fill="auto"/>
            <w:vAlign w:val="bottom"/>
          </w:tcPr>
          <w:p w14:paraId="639E60D6" w14:textId="77777777" w:rsidR="00857A2F" w:rsidRDefault="00570CD0">
            <w:pPr>
              <w:spacing w:after="0" w:line="240" w:lineRule="auto"/>
              <w:rPr>
                <w:color w:val="000000"/>
              </w:rPr>
            </w:pPr>
            <w:r>
              <w:rPr>
                <w:color w:val="000000"/>
              </w:rPr>
              <w:t>Randall</w:t>
            </w:r>
          </w:p>
        </w:tc>
        <w:tc>
          <w:tcPr>
            <w:tcW w:w="1170" w:type="dxa"/>
            <w:tcBorders>
              <w:top w:val="nil"/>
              <w:left w:val="nil"/>
              <w:bottom w:val="nil"/>
              <w:right w:val="nil"/>
            </w:tcBorders>
            <w:shd w:val="clear" w:color="auto" w:fill="auto"/>
            <w:vAlign w:val="bottom"/>
          </w:tcPr>
          <w:p w14:paraId="4DF5D7B8" w14:textId="77777777" w:rsidR="00857A2F" w:rsidRDefault="00570CD0">
            <w:pPr>
              <w:spacing w:after="0" w:line="240" w:lineRule="auto"/>
              <w:rPr>
                <w:color w:val="000000"/>
              </w:rPr>
            </w:pPr>
            <w:r>
              <w:rPr>
                <w:color w:val="000000"/>
              </w:rPr>
              <w:t>Joyce</w:t>
            </w:r>
          </w:p>
        </w:tc>
        <w:tc>
          <w:tcPr>
            <w:tcW w:w="4264" w:type="dxa"/>
            <w:tcBorders>
              <w:top w:val="nil"/>
              <w:left w:val="nil"/>
              <w:bottom w:val="nil"/>
              <w:right w:val="nil"/>
            </w:tcBorders>
            <w:shd w:val="clear" w:color="auto" w:fill="auto"/>
            <w:vAlign w:val="bottom"/>
          </w:tcPr>
          <w:p w14:paraId="6B618FD9" w14:textId="77777777" w:rsidR="00857A2F" w:rsidRDefault="00570CD0">
            <w:pPr>
              <w:spacing w:after="0" w:line="240" w:lineRule="auto"/>
              <w:rPr>
                <w:color w:val="000000"/>
              </w:rPr>
            </w:pPr>
            <w:r>
              <w:rPr>
                <w:color w:val="000000"/>
              </w:rPr>
              <w:t>Murray State University</w:t>
            </w:r>
          </w:p>
        </w:tc>
      </w:tr>
      <w:tr w:rsidR="00857A2F" w14:paraId="6513E305" w14:textId="77777777" w:rsidTr="005233C6">
        <w:trPr>
          <w:trHeight w:val="290"/>
        </w:trPr>
        <w:tc>
          <w:tcPr>
            <w:tcW w:w="1620" w:type="dxa"/>
            <w:tcBorders>
              <w:top w:val="nil"/>
              <w:left w:val="nil"/>
              <w:bottom w:val="nil"/>
              <w:right w:val="nil"/>
            </w:tcBorders>
            <w:shd w:val="clear" w:color="auto" w:fill="auto"/>
            <w:vAlign w:val="bottom"/>
          </w:tcPr>
          <w:p w14:paraId="41205E6F" w14:textId="77777777" w:rsidR="00857A2F" w:rsidRDefault="00570CD0">
            <w:pPr>
              <w:spacing w:after="0" w:line="240" w:lineRule="auto"/>
              <w:rPr>
                <w:color w:val="000000"/>
              </w:rPr>
            </w:pPr>
            <w:r>
              <w:rPr>
                <w:color w:val="000000"/>
              </w:rPr>
              <w:t xml:space="preserve">Dan </w:t>
            </w:r>
          </w:p>
        </w:tc>
        <w:tc>
          <w:tcPr>
            <w:tcW w:w="1170" w:type="dxa"/>
            <w:tcBorders>
              <w:top w:val="nil"/>
              <w:left w:val="nil"/>
              <w:bottom w:val="nil"/>
              <w:right w:val="nil"/>
            </w:tcBorders>
            <w:shd w:val="clear" w:color="auto" w:fill="auto"/>
            <w:vAlign w:val="bottom"/>
          </w:tcPr>
          <w:p w14:paraId="11D39FFE" w14:textId="77777777" w:rsidR="00857A2F" w:rsidRDefault="00570CD0">
            <w:pPr>
              <w:spacing w:after="0" w:line="240" w:lineRule="auto"/>
              <w:rPr>
                <w:color w:val="000000"/>
              </w:rPr>
            </w:pPr>
            <w:r>
              <w:rPr>
                <w:color w:val="000000"/>
              </w:rPr>
              <w:t>Manson</w:t>
            </w:r>
          </w:p>
        </w:tc>
        <w:tc>
          <w:tcPr>
            <w:tcW w:w="4264" w:type="dxa"/>
            <w:tcBorders>
              <w:top w:val="nil"/>
              <w:left w:val="nil"/>
              <w:bottom w:val="nil"/>
              <w:right w:val="nil"/>
            </w:tcBorders>
            <w:shd w:val="clear" w:color="auto" w:fill="auto"/>
            <w:vAlign w:val="bottom"/>
          </w:tcPr>
          <w:p w14:paraId="7EAD9AAD" w14:textId="77777777" w:rsidR="00857A2F" w:rsidRDefault="00570CD0">
            <w:pPr>
              <w:spacing w:after="0" w:line="240" w:lineRule="auto"/>
              <w:rPr>
                <w:color w:val="000000"/>
              </w:rPr>
            </w:pPr>
            <w:r>
              <w:rPr>
                <w:color w:val="000000"/>
              </w:rPr>
              <w:t>Norwich University</w:t>
            </w:r>
          </w:p>
        </w:tc>
      </w:tr>
      <w:tr w:rsidR="00857A2F" w14:paraId="23B839DF" w14:textId="77777777" w:rsidTr="005233C6">
        <w:trPr>
          <w:trHeight w:val="290"/>
        </w:trPr>
        <w:tc>
          <w:tcPr>
            <w:tcW w:w="1620" w:type="dxa"/>
            <w:tcBorders>
              <w:top w:val="nil"/>
              <w:left w:val="nil"/>
              <w:bottom w:val="nil"/>
              <w:right w:val="nil"/>
            </w:tcBorders>
            <w:shd w:val="clear" w:color="auto" w:fill="auto"/>
            <w:vAlign w:val="bottom"/>
          </w:tcPr>
          <w:p w14:paraId="46F9208A" w14:textId="77777777" w:rsidR="00857A2F" w:rsidRDefault="00570CD0">
            <w:pPr>
              <w:spacing w:after="0" w:line="240" w:lineRule="auto"/>
              <w:rPr>
                <w:color w:val="000000"/>
              </w:rPr>
            </w:pPr>
            <w:r>
              <w:rPr>
                <w:color w:val="000000"/>
              </w:rPr>
              <w:t>Valarie (Vickie)</w:t>
            </w:r>
          </w:p>
        </w:tc>
        <w:tc>
          <w:tcPr>
            <w:tcW w:w="1170" w:type="dxa"/>
            <w:tcBorders>
              <w:top w:val="nil"/>
              <w:left w:val="nil"/>
              <w:bottom w:val="nil"/>
              <w:right w:val="nil"/>
            </w:tcBorders>
            <w:shd w:val="clear" w:color="auto" w:fill="auto"/>
            <w:vAlign w:val="bottom"/>
          </w:tcPr>
          <w:p w14:paraId="5E623349" w14:textId="77777777" w:rsidR="00857A2F" w:rsidRDefault="00570CD0">
            <w:pPr>
              <w:spacing w:after="0" w:line="240" w:lineRule="auto"/>
              <w:rPr>
                <w:color w:val="000000"/>
              </w:rPr>
            </w:pPr>
            <w:r>
              <w:rPr>
                <w:color w:val="000000"/>
              </w:rPr>
              <w:t>McLain</w:t>
            </w:r>
          </w:p>
        </w:tc>
        <w:tc>
          <w:tcPr>
            <w:tcW w:w="4264" w:type="dxa"/>
            <w:tcBorders>
              <w:top w:val="nil"/>
              <w:left w:val="nil"/>
              <w:bottom w:val="nil"/>
              <w:right w:val="nil"/>
            </w:tcBorders>
            <w:shd w:val="clear" w:color="auto" w:fill="auto"/>
            <w:vAlign w:val="bottom"/>
          </w:tcPr>
          <w:p w14:paraId="78565999" w14:textId="77777777" w:rsidR="00857A2F" w:rsidRDefault="00570CD0">
            <w:pPr>
              <w:spacing w:after="0" w:line="240" w:lineRule="auto"/>
              <w:rPr>
                <w:color w:val="000000"/>
              </w:rPr>
            </w:pPr>
            <w:r>
              <w:rPr>
                <w:color w:val="000000"/>
              </w:rPr>
              <w:t>Alexandria Technical and Community College</w:t>
            </w:r>
          </w:p>
        </w:tc>
      </w:tr>
      <w:tr w:rsidR="00857A2F" w14:paraId="6D8356A0" w14:textId="77777777" w:rsidTr="00832F65">
        <w:trPr>
          <w:trHeight w:val="290"/>
        </w:trPr>
        <w:tc>
          <w:tcPr>
            <w:tcW w:w="1620" w:type="dxa"/>
            <w:tcBorders>
              <w:top w:val="nil"/>
              <w:left w:val="nil"/>
              <w:bottom w:val="nil"/>
              <w:right w:val="nil"/>
            </w:tcBorders>
            <w:shd w:val="clear" w:color="auto" w:fill="auto"/>
            <w:vAlign w:val="bottom"/>
          </w:tcPr>
          <w:p w14:paraId="6D90DA14" w14:textId="77777777" w:rsidR="00857A2F" w:rsidRDefault="00570CD0">
            <w:pPr>
              <w:spacing w:after="0" w:line="240" w:lineRule="auto"/>
              <w:rPr>
                <w:color w:val="000000"/>
              </w:rPr>
            </w:pPr>
            <w:r>
              <w:rPr>
                <w:color w:val="000000"/>
              </w:rPr>
              <w:t>Ed</w:t>
            </w:r>
          </w:p>
        </w:tc>
        <w:tc>
          <w:tcPr>
            <w:tcW w:w="1170" w:type="dxa"/>
            <w:tcBorders>
              <w:top w:val="nil"/>
              <w:left w:val="nil"/>
              <w:bottom w:val="nil"/>
              <w:right w:val="nil"/>
            </w:tcBorders>
            <w:shd w:val="clear" w:color="auto" w:fill="auto"/>
            <w:vAlign w:val="bottom"/>
          </w:tcPr>
          <w:p w14:paraId="690B28B3" w14:textId="77777777" w:rsidR="00857A2F" w:rsidRDefault="00570CD0">
            <w:pPr>
              <w:spacing w:after="0" w:line="240" w:lineRule="auto"/>
              <w:rPr>
                <w:color w:val="000000"/>
              </w:rPr>
            </w:pPr>
            <w:proofErr w:type="spellStart"/>
            <w:r>
              <w:rPr>
                <w:color w:val="000000"/>
              </w:rPr>
              <w:t>Skoudis</w:t>
            </w:r>
            <w:proofErr w:type="spellEnd"/>
          </w:p>
        </w:tc>
        <w:tc>
          <w:tcPr>
            <w:tcW w:w="4264" w:type="dxa"/>
            <w:tcBorders>
              <w:top w:val="nil"/>
              <w:left w:val="nil"/>
              <w:bottom w:val="nil"/>
              <w:right w:val="nil"/>
            </w:tcBorders>
            <w:shd w:val="clear" w:color="auto" w:fill="auto"/>
            <w:vAlign w:val="bottom"/>
          </w:tcPr>
          <w:p w14:paraId="6C25498B" w14:textId="77777777" w:rsidR="00857A2F" w:rsidRDefault="00570CD0">
            <w:pPr>
              <w:spacing w:after="0" w:line="240" w:lineRule="auto"/>
              <w:rPr>
                <w:color w:val="000000"/>
              </w:rPr>
            </w:pPr>
            <w:r>
              <w:rPr>
                <w:color w:val="000000"/>
              </w:rPr>
              <w:t>SANS Technology Institute</w:t>
            </w:r>
          </w:p>
        </w:tc>
      </w:tr>
      <w:tr w:rsidR="00857A2F" w14:paraId="1EA41B01" w14:textId="77777777" w:rsidTr="005233C6">
        <w:trPr>
          <w:trHeight w:val="290"/>
        </w:trPr>
        <w:tc>
          <w:tcPr>
            <w:tcW w:w="1620" w:type="dxa"/>
            <w:tcBorders>
              <w:top w:val="nil"/>
              <w:left w:val="nil"/>
              <w:bottom w:val="nil"/>
              <w:right w:val="nil"/>
            </w:tcBorders>
            <w:shd w:val="clear" w:color="auto" w:fill="auto"/>
            <w:vAlign w:val="bottom"/>
          </w:tcPr>
          <w:p w14:paraId="629F1F26" w14:textId="77777777" w:rsidR="00857A2F" w:rsidRDefault="00570CD0">
            <w:pPr>
              <w:spacing w:after="0" w:line="240" w:lineRule="auto"/>
              <w:rPr>
                <w:color w:val="000000"/>
              </w:rPr>
            </w:pPr>
            <w:r>
              <w:rPr>
                <w:color w:val="000000"/>
              </w:rPr>
              <w:t>Gary</w:t>
            </w:r>
          </w:p>
        </w:tc>
        <w:tc>
          <w:tcPr>
            <w:tcW w:w="1170" w:type="dxa"/>
            <w:tcBorders>
              <w:top w:val="nil"/>
              <w:left w:val="nil"/>
              <w:bottom w:val="nil"/>
              <w:right w:val="nil"/>
            </w:tcBorders>
            <w:shd w:val="clear" w:color="auto" w:fill="auto"/>
            <w:vAlign w:val="bottom"/>
          </w:tcPr>
          <w:p w14:paraId="0D7AEBB8" w14:textId="77777777" w:rsidR="00857A2F" w:rsidRDefault="00570CD0">
            <w:pPr>
              <w:spacing w:after="0" w:line="240" w:lineRule="auto"/>
              <w:rPr>
                <w:color w:val="000000"/>
              </w:rPr>
            </w:pPr>
            <w:r>
              <w:rPr>
                <w:color w:val="000000"/>
              </w:rPr>
              <w:t>Sparks</w:t>
            </w:r>
          </w:p>
        </w:tc>
        <w:tc>
          <w:tcPr>
            <w:tcW w:w="4264" w:type="dxa"/>
            <w:tcBorders>
              <w:top w:val="nil"/>
              <w:left w:val="nil"/>
              <w:bottom w:val="nil"/>
              <w:right w:val="nil"/>
            </w:tcBorders>
            <w:shd w:val="clear" w:color="auto" w:fill="auto"/>
            <w:vAlign w:val="bottom"/>
          </w:tcPr>
          <w:p w14:paraId="3FB1AF6F" w14:textId="77777777" w:rsidR="00857A2F" w:rsidRDefault="00570CD0">
            <w:pPr>
              <w:spacing w:after="0" w:line="240" w:lineRule="auto"/>
              <w:rPr>
                <w:color w:val="000000"/>
              </w:rPr>
            </w:pPr>
            <w:r>
              <w:rPr>
                <w:color w:val="000000"/>
              </w:rPr>
              <w:t>Metropolitan Community College</w:t>
            </w:r>
          </w:p>
        </w:tc>
      </w:tr>
    </w:tbl>
    <w:p w14:paraId="18ACBB80" w14:textId="77777777" w:rsidR="00857A2F" w:rsidRDefault="00857A2F">
      <w:pPr>
        <w:pBdr>
          <w:top w:val="nil"/>
          <w:left w:val="nil"/>
          <w:bottom w:val="nil"/>
          <w:right w:val="nil"/>
          <w:between w:val="nil"/>
        </w:pBdr>
        <w:ind w:left="720"/>
        <w:rPr>
          <w:color w:val="000000"/>
        </w:rPr>
      </w:pPr>
    </w:p>
    <w:p w14:paraId="2AC82CDD" w14:textId="77777777" w:rsidR="00496950" w:rsidRDefault="00496950">
      <w:pPr>
        <w:rPr>
          <w:rFonts w:asciiTheme="majorHAnsi" w:eastAsiaTheme="majorEastAsia" w:hAnsiTheme="majorHAnsi" w:cstheme="majorBidi"/>
          <w:b/>
          <w:spacing w:val="-10"/>
          <w:kern w:val="28"/>
          <w:sz w:val="36"/>
          <w:szCs w:val="36"/>
        </w:rPr>
      </w:pPr>
      <w:r>
        <w:rPr>
          <w:b/>
          <w:sz w:val="36"/>
          <w:szCs w:val="36"/>
        </w:rPr>
        <w:br w:type="page"/>
      </w:r>
    </w:p>
    <w:p w14:paraId="35A1D193" w14:textId="6FDA7505" w:rsidR="00857A2F" w:rsidRDefault="00570CD0" w:rsidP="00496950">
      <w:pPr>
        <w:pStyle w:val="Title"/>
        <w:jc w:val="center"/>
        <w:rPr>
          <w:b/>
          <w:sz w:val="36"/>
          <w:szCs w:val="36"/>
        </w:rPr>
      </w:pPr>
      <w:r>
        <w:rPr>
          <w:b/>
          <w:sz w:val="36"/>
          <w:szCs w:val="36"/>
        </w:rPr>
        <w:lastRenderedPageBreak/>
        <w:t>NCAE-C Student Code of Ethics and Professional Conduct</w:t>
      </w:r>
    </w:p>
    <w:p w14:paraId="27E3824A" w14:textId="40CDC184" w:rsidR="00857A2F" w:rsidRDefault="00857A2F"/>
    <w:p w14:paraId="5E0A221B" w14:textId="77777777" w:rsidR="00857A2F" w:rsidRDefault="00570CD0" w:rsidP="000E00E0">
      <w:pPr>
        <w:jc w:val="both"/>
      </w:pPr>
      <w:r>
        <w:t>As a cybersecurity student, you are expected to uphold a code of ethics and professional behavior that promotes the highest standards of integrity, honesty, trustworthiness, and professionalism. This code serves as a guide to help you make ethical decisions and maintain the trust and confidence of your clients, colleagues, and the public.</w:t>
      </w:r>
    </w:p>
    <w:p w14:paraId="45CB3BC0" w14:textId="77777777" w:rsidR="00857A2F" w:rsidRDefault="00570CD0" w:rsidP="007E5C30">
      <w:pPr>
        <w:jc w:val="both"/>
      </w:pPr>
      <w:r>
        <w:t>The following are the principles of the cybersecurity student code of ethics and professional behavior for students attending NCAE schools:</w:t>
      </w:r>
    </w:p>
    <w:p w14:paraId="20C01BB4" w14:textId="5C0628BC"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Respect:  </w:t>
      </w:r>
      <w:r>
        <w:rPr>
          <w:color w:val="000000"/>
        </w:rPr>
        <w:t xml:space="preserve">Treat others with respect and honesty. Act in a legal and moral fashion regarding others. Respect the laws and regulations that govern your profession and </w:t>
      </w:r>
      <w:r w:rsidR="00635A94" w:rsidRPr="00587BD4">
        <w:rPr>
          <w:color w:val="000000"/>
        </w:rPr>
        <w:t>do not engage</w:t>
      </w:r>
      <w:r w:rsidR="00635A94">
        <w:rPr>
          <w:color w:val="000000"/>
        </w:rPr>
        <w:t xml:space="preserve"> </w:t>
      </w:r>
      <w:r>
        <w:rPr>
          <w:color w:val="000000"/>
        </w:rPr>
        <w:t>in any activities that could be considered illegal or unethical.</w:t>
      </w:r>
    </w:p>
    <w:p w14:paraId="04F391E6" w14:textId="77777777"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Professionalism: </w:t>
      </w:r>
      <w:r>
        <w:rPr>
          <w:color w:val="000000"/>
        </w:rPr>
        <w:t>Conduct yourself in person and online in a professional manner, and always adhere to ethical standards when dealing with clients, colleagues, and the public. Your actions should be based on sound judgment, integrity, and the highest levels of ethical conduct.</w:t>
      </w:r>
    </w:p>
    <w:p w14:paraId="0F30DF4D" w14:textId="77777777"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Confidentiality: </w:t>
      </w:r>
      <w:r>
        <w:rPr>
          <w:color w:val="000000"/>
        </w:rPr>
        <w:t xml:space="preserve"> Maintain the privacy and confidentiality of information, especially concerning protected health information, personally identifiable information, or intellectual property entrusted to you.</w:t>
      </w:r>
    </w:p>
    <w:p w14:paraId="60F35008" w14:textId="77777777"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Accountability: </w:t>
      </w:r>
      <w:r>
        <w:rPr>
          <w:color w:val="000000"/>
        </w:rPr>
        <w:t>Take responsibility for your actions and be accountable for any mistakes or errors that you make. Learn from your mistakes and take steps to prevent them from happening again. Do no harm.</w:t>
      </w:r>
    </w:p>
    <w:p w14:paraId="7152328C" w14:textId="77777777"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Collaboration: </w:t>
      </w:r>
      <w:r>
        <w:rPr>
          <w:color w:val="000000"/>
        </w:rPr>
        <w:t xml:space="preserve">Strive to collaborate online and </w:t>
      </w:r>
      <w:r>
        <w:t>in person</w:t>
      </w:r>
      <w:r>
        <w:rPr>
          <w:color w:val="000000"/>
        </w:rPr>
        <w:t xml:space="preserve"> with other cyber professionals to make the cyber world safer for all. </w:t>
      </w:r>
    </w:p>
    <w:p w14:paraId="796A176C" w14:textId="18DB7537"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Attribution: </w:t>
      </w:r>
      <w:r>
        <w:rPr>
          <w:color w:val="000000"/>
        </w:rPr>
        <w:t xml:space="preserve">Give credit to others for their work. Only use </w:t>
      </w:r>
      <w:r w:rsidR="00E16D74" w:rsidRPr="0035398E">
        <w:rPr>
          <w:color w:val="000000"/>
        </w:rPr>
        <w:t>work created by others and</w:t>
      </w:r>
      <w:r w:rsidR="00E16D74">
        <w:rPr>
          <w:color w:val="000000"/>
        </w:rPr>
        <w:t xml:space="preserve"> </w:t>
      </w:r>
      <w:r>
        <w:rPr>
          <w:color w:val="000000"/>
        </w:rPr>
        <w:t xml:space="preserve">generative AI with proper attribution and </w:t>
      </w:r>
      <w:r w:rsidR="00534165" w:rsidRPr="00587BD4">
        <w:rPr>
          <w:color w:val="000000"/>
        </w:rPr>
        <w:t>explicit</w:t>
      </w:r>
      <w:r w:rsidR="00534165">
        <w:rPr>
          <w:color w:val="000000"/>
        </w:rPr>
        <w:t xml:space="preserve"> </w:t>
      </w:r>
      <w:r>
        <w:rPr>
          <w:color w:val="000000"/>
        </w:rPr>
        <w:t xml:space="preserve">permission from your college, university, or employer. </w:t>
      </w:r>
    </w:p>
    <w:p w14:paraId="76118018" w14:textId="77777777" w:rsidR="00857A2F" w:rsidRDefault="00570CD0" w:rsidP="007E5C30">
      <w:pPr>
        <w:numPr>
          <w:ilvl w:val="0"/>
          <w:numId w:val="1"/>
        </w:numPr>
        <w:pBdr>
          <w:top w:val="nil"/>
          <w:left w:val="nil"/>
          <w:bottom w:val="nil"/>
          <w:right w:val="nil"/>
          <w:between w:val="nil"/>
        </w:pBdr>
        <w:spacing w:after="0"/>
        <w:jc w:val="both"/>
      </w:pPr>
      <w:r w:rsidRPr="00496950">
        <w:rPr>
          <w:b/>
          <w:bCs/>
          <w:color w:val="000000"/>
        </w:rPr>
        <w:t xml:space="preserve">Continuous Learning:  </w:t>
      </w:r>
      <w:r>
        <w:rPr>
          <w:color w:val="000000"/>
        </w:rPr>
        <w:t>Continue as a life-long learner to ensure competency in the field. Share your knowledge with others and promote best practices.</w:t>
      </w:r>
    </w:p>
    <w:p w14:paraId="186C0E49" w14:textId="605545FC" w:rsidR="00857A2F" w:rsidRDefault="00570CD0" w:rsidP="007E5C30">
      <w:pPr>
        <w:numPr>
          <w:ilvl w:val="0"/>
          <w:numId w:val="1"/>
        </w:numPr>
        <w:pBdr>
          <w:top w:val="nil"/>
          <w:left w:val="nil"/>
          <w:bottom w:val="nil"/>
          <w:right w:val="nil"/>
          <w:between w:val="nil"/>
        </w:pBdr>
        <w:jc w:val="both"/>
      </w:pPr>
      <w:r w:rsidRPr="00496950">
        <w:rPr>
          <w:b/>
          <w:bCs/>
          <w:color w:val="000000"/>
        </w:rPr>
        <w:t xml:space="preserve">Reporting:  </w:t>
      </w:r>
      <w:r>
        <w:rPr>
          <w:color w:val="000000"/>
        </w:rPr>
        <w:t>Report any unethical behavior you observe in the course of your work</w:t>
      </w:r>
      <w:r w:rsidR="00534165">
        <w:rPr>
          <w:color w:val="000000"/>
        </w:rPr>
        <w:t xml:space="preserve"> to the appropriate authorities</w:t>
      </w:r>
      <w:r>
        <w:rPr>
          <w:color w:val="000000"/>
        </w:rPr>
        <w:t>.</w:t>
      </w:r>
      <w:r w:rsidR="00534165">
        <w:rPr>
          <w:color w:val="000000"/>
        </w:rPr>
        <w:t xml:space="preserve"> </w:t>
      </w:r>
    </w:p>
    <w:sectPr w:rsidR="00857A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5E5F"/>
    <w:multiLevelType w:val="multilevel"/>
    <w:tmpl w:val="4C92FB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5693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2F"/>
    <w:rsid w:val="000E00E0"/>
    <w:rsid w:val="001B2D39"/>
    <w:rsid w:val="001E61BD"/>
    <w:rsid w:val="0035398E"/>
    <w:rsid w:val="00496950"/>
    <w:rsid w:val="005233C6"/>
    <w:rsid w:val="00534165"/>
    <w:rsid w:val="00570CD0"/>
    <w:rsid w:val="00587BD4"/>
    <w:rsid w:val="00596941"/>
    <w:rsid w:val="00635A94"/>
    <w:rsid w:val="00782217"/>
    <w:rsid w:val="007E5C30"/>
    <w:rsid w:val="00832F65"/>
    <w:rsid w:val="00857A2F"/>
    <w:rsid w:val="008779F8"/>
    <w:rsid w:val="009A07B2"/>
    <w:rsid w:val="00AE2F59"/>
    <w:rsid w:val="00D0718A"/>
    <w:rsid w:val="00E16D74"/>
    <w:rsid w:val="00FE3E1A"/>
    <w:rsid w:val="00FF35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752E"/>
  <w15:docId w15:val="{2C7B4DAE-4578-4D00-B7A3-FA7FC0FA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43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437F"/>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1E437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E437F"/>
    <w:pPr>
      <w:ind w:left="720"/>
      <w:contextualSpacing/>
    </w:pPr>
  </w:style>
  <w:style w:type="paragraph" w:styleId="Revision">
    <w:name w:val="Revision"/>
    <w:hidden/>
    <w:uiPriority w:val="99"/>
    <w:semiHidden/>
    <w:rsid w:val="00171C46"/>
    <w:pPr>
      <w:spacing w:after="0" w:line="240" w:lineRule="auto"/>
    </w:pPr>
  </w:style>
  <w:style w:type="character" w:styleId="Hyperlink">
    <w:name w:val="Hyperlink"/>
    <w:basedOn w:val="DefaultParagraphFont"/>
    <w:uiPriority w:val="99"/>
    <w:unhideWhenUsed/>
    <w:rsid w:val="00732E86"/>
    <w:rPr>
      <w:color w:val="0563C1" w:themeColor="hyperlink"/>
      <w:u w:val="single"/>
    </w:rPr>
  </w:style>
  <w:style w:type="character" w:styleId="UnresolvedMention">
    <w:name w:val="Unresolved Mention"/>
    <w:basedOn w:val="DefaultParagraphFont"/>
    <w:uiPriority w:val="99"/>
    <w:semiHidden/>
    <w:unhideWhenUsed/>
    <w:rsid w:val="00732E8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ecommunity.org/community-of-practice/cyber-def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fWe2WY+SVbstbZ8J/dMX9xiMw==">CgMxLjA4AHIhMXhYcnp2MTdYU3VxTFhxVF9LaVl2YXdrMXU4b3A0Vmsy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Burgin, Kelli</dc:creator>
  <cp:lastModifiedBy>Yair Levy</cp:lastModifiedBy>
  <cp:revision>5</cp:revision>
  <dcterms:created xsi:type="dcterms:W3CDTF">2023-09-26T14:16:00Z</dcterms:created>
  <dcterms:modified xsi:type="dcterms:W3CDTF">2023-09-26T14:20:00Z</dcterms:modified>
</cp:coreProperties>
</file>